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BayGrStG (Bayern) — Hebesatz</w:t>
      </w:r>
    </w:p>
    <w:p>
      <w:r>
        <w:rPr>
          <w:color w:val="555555"/>
          <w:sz w:val="18"/>
        </w:rPr>
        <w:t xml:space="preserve">Bayerisches Grundsteuergesetz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25 Abs. 4 Satz 1 Nr. 2 GrStG können Gemeinden für die Fälle einer nach Art. 4 Abs. 2, 3 und 4 ermäßigten Grundsteuermesszahl reduzierte Hebesätze auf den jeweiligen Anteil des Grundsteuermessbetrags vorsehen.</w:t>
      </w:r>
    </w:p>
    <w:p>
      <w:r>
        <w:t xml:space="preserve">(2) § 25 Abs. 5 GrStG findet keine Anwendung.</w:t>
      </w:r>
    </w:p>
    <w:p>
      <w:r>
        <w:rPr>
          <w:color w:val="555555"/>
          <w:sz w:val="17"/>
        </w:rPr>
        <w:t xml:space="preserve">Zitiervorschlag: Art 5 BayGrStG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https://recht.nulegal.eu/gesetze/BayGrStG/5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