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BayGrStG (Bayern) — Grundsteuermesszahlen</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Grundsteuermesszahl beträgt 100 %. Für den Äquivalenzbetrag der Wohnflächen wird die Grundsteuermesszahl auf 70 % ermäßigt.</w:t>
      </w:r>
    </w:p>
    <w:p>
      <w:r>
        <w:t xml:space="preserve">(2) Die Grundsteuermesszahl für den Äquivalenzbetrag der Wohnflächen wird um 25 % ermäßigt, soweit eine enge räumliche Verbindung mit dem Betrieb der Land- und Forstwirtschaft des Steuerschuldners besteht. Dies gilt nur, soweit Wohnflächen dem Inhaber des Betriebs der Land- und Forstwirtschaft, den zu seinem Haushalt gehörenden Familienangehörigen oder den Altenteilern zu Wohnzwecken dienen und mindestens einer der Bewohner durch eine mehr als nur gelegentliche Tätigkeit in dem Betrieb an ihn gebunden ist. Für Flächen, die den Angestellten des Betriebs zu Wohnzwecken dienen, gilt Satz 1 entsprechend.</w:t>
      </w:r>
    </w:p>
    <w:p>
      <w:r>
        <w:t xml:space="preserve">(3) Die Grundsteuermesszahlen für die Äquivalenzbeträge der Gebäudeflächen werden um 25 % ermäßigt, wenn ein Baudenkmal nach Art. 1 Abs. 2 Satz 1 oder Abs. 3 des Bayerischen Denkmalschutzgesetzes vorliegt.</w:t>
      </w:r>
    </w:p>
    <w:p>
      <w:r>
        <w:t xml:space="preserve">(4) Die Grundsteuermesszahl für den Äquivalenzbetrag der Wohnflächen wird um 25 % ermäßigt, soweit</w:t>
      </w:r>
    </w:p>
    <w:p>
      <w:r>
        <w:t xml:space="preserve">1. die Wohnflächen den Bindungen des sozialen Wohnungsbaus aufgrund einer staatlichen oder kommunalen Wohnraumförderung unterliegen oder</w:t>
      </w:r>
    </w:p>
    <w:p>
      <w:r>
        <w:t xml:space="preserve">2. die Voraussetzungen des § 15 Abs. 4 des Grundsteuergesetzes (GrStG) in der am 1. Januar 2025 geltenden Fassung vorliegen.</w:t>
      </w:r>
    </w:p>
    <w:p>
      <w:r>
        <w:t xml:space="preserve">(5) Eine Ermäßigung der Grundsteuermesszahlen nach Abs. 2 bis 4 wird gewährt, wenn die jeweiligen Voraussetzungen zum Veranlagungszeitpunkt vorlagen. Sind mehrere Ermäßigungstatbestände erfüllt, sind die Ermäßigungen nacheinander anzuwenden. Den Bezugspunkt der Berechnung der ermäßigten Grundsteuermesszahl bildet jeweils die vorangegangene ermäßigte Grundsteuermesszahl.</w:t>
      </w:r>
    </w:p>
    <w:p>
      <w:r>
        <w:rPr>
          <w:color w:val="555555"/>
          <w:sz w:val="17"/>
        </w:rPr>
        <w:t xml:space="preserve">Zitiervorschlag: Art 4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