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BayGrStG (Bayern) — Inkrafttreten, Außerkrafttreten</w:t>
      </w:r>
    </w:p>
    <w:p>
      <w:r>
        <w:rPr>
          <w:color w:val="555555"/>
          <w:sz w:val="18"/>
        </w:rPr>
        <w:t xml:space="preserve">Bayerisches Grundsteuergesetz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Januar 2022 in Kraft.</w:t>
      </w:r>
    </w:p>
    <w:p>
      <w:r>
        <w:t xml:space="preserve">(2) Art. 10b tritt am 1. Juli 2022 außer Kraft. Art. 10a tritt am 31. Dezember 2029 außer Kraft.</w:t>
      </w:r>
    </w:p>
    <w:p>
      <w:r>
        <w:rPr>
          <w:color w:val="555555"/>
          <w:sz w:val="17"/>
        </w:rPr>
        <w:t xml:space="preserve">Zitiervorschlag: Art 11 BayGrStG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https://recht.nulegal.eu/gesetze/BayGrStG/11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