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10a BayGrStG (Bayern) — Übergangsregelungen</w:t>
      </w:r>
    </w:p>
    <w:p>
      <w:r>
        <w:rPr>
          <w:color w:val="555555"/>
          <w:sz w:val="18"/>
        </w:rPr>
        <w:t xml:space="preserve">Bayerisches Grundsteuergesetz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Anwendung des Art. 6 Abs. 2 Satz 3 und Abs. 3 Satz 1 dieses Gesetzes sowie der §§ 223 und 224 BewG ist für Feststellungszeitpunkte zwischen dem 1. Januar 2022 und dem 31. Dezember 2024 zu unterstellen, dass die Feststellungen für die Besteuerung nach diesem Gesetz von Bedeutung sind und die wirtschaftlichen Einheiten zur Besteuerung nach diesem Gesetz herangezogen oder nicht mehr herangezogen werden.</w:t>
      </w:r>
    </w:p>
    <w:p>
      <w:r>
        <w:t xml:space="preserve">(2) Die Vermessungsverwaltung stellt ab dem 1. Juli 2022 befristet bis zum 30. November 2023 folgende Daten der Flurstücke zum Hauptfeststellungszeitpunkt kostenlos über eine allgemein zugängliche Internetanwendung zur Verfügung:</w:t>
      </w:r>
    </w:p>
    <w:p>
      <w:r>
        <w:t xml:space="preserve">1. die Flurstücksnummer,</w:t>
      </w:r>
    </w:p>
    <w:p>
      <w:r>
        <w:t xml:space="preserve">2. die amtliche Fläche,</w:t>
      </w:r>
    </w:p>
    <w:p>
      <w:r>
        <w:t xml:space="preserve">3. den Gemeindenamen,</w:t>
      </w:r>
    </w:p>
    <w:p>
      <w:r>
        <w:t xml:space="preserve">4. den Gemarkungsnamen und die Gemarkungsnummer,</w:t>
      </w:r>
    </w:p>
    <w:p>
      <w:r>
        <w:t xml:space="preserve">5. die tatsächliche Nutzung mit den zugehörigen Flächenanteilen, und</w:t>
      </w:r>
    </w:p>
    <w:p>
      <w:r>
        <w:t xml:space="preserve">6. soweit vorhanden die einzelnen Flächenanteile mit der zugehörigen Ertragsmesszahl und die Gesamtertragsmesszahl.</w:t>
      </w:r>
    </w:p>
    <w:p>
      <w:r>
        <w:t xml:space="preserve">Der Eigentümer hat das Recht, jederzeit ohne Angabe von Gründen gegen die Veröffentlichung der in Satz 1 Nr. 6 genannten Daten seines Flurstücks Widerspruch einzulegen. Widerspricht der Eigentümer, hat eine Veröffentlichung der entsprechenden Daten des Eigentümers durch die Vermessungsverwaltung in der Internetanwendung für die Zukunft zu unterbleiben.</w:t>
      </w:r>
    </w:p>
    <w:p>
      <w:r>
        <w:rPr>
          <w:color w:val="555555"/>
          <w:sz w:val="17"/>
        </w:rPr>
        <w:t xml:space="preserve">Zitiervorschlag: Art 10a BayGrStG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https://recht.nulegal.eu/gesetze/BayGrStG/10a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