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BayGrStG (Bayern) — Anwendung von Bundesrecht</w:t>
      </w:r>
    </w:p>
    <w:p>
      <w:r>
        <w:rPr>
          <w:color w:val="555555"/>
          <w:sz w:val="18"/>
        </w:rPr>
        <w:t xml:space="preserve">Bayerisches Grundsteuergesetz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Bestimmungen des Grundsteuergesetzes und des Bewertungsgesetzes sind für Zwecke der Festsetzung und Erhebung der Grundsteuer ab dem Kalenderjahr 2025 nur anzuwenden, soweit sich aus diesem Gesetz nichts anderes ergibt. Die Grundsteuer der Kalenderjahre bis einschließlich 2024 bemisst sich ausschließlich nach den bundesgesetzlichen Regelungen.</w:t>
      </w:r>
    </w:p>
    <w:p>
      <w:r>
        <w:t xml:space="preserve">(2) Die Vorschriften der Abgabenordnung sind entsprechend anzuwenden, soweit in diesem Gesetz nichts anderes bestimmt ist. § 32h AO gilt mit der Maßgabe, dass der Landesbeauftragte für den Datenschutz zuständig und das Bayerische Datenschutzgesetz einschlägig ist.</w:t>
      </w:r>
    </w:p>
    <w:p>
      <w:r>
        <w:t xml:space="preserve">(3) Die im Grundsteuergesetz enthaltenen Verordnungsermächtigungen finden in Bezug auf die in diesem Gesetz geregelten Sachverhalte mit der Maßgabe Anwendung, dass die entsprechenden Rechtsverordnungen durch das Staatsministerium der Finanzen und für Heimat (Staatsministerium) erlassen werden. Die darauf gestützten Rechtsverordnungen des Bundes finden diesbezüglich nur Anwendung, wenn und soweit das durch Rechtsverordnung des Staatsministeriums angeordnet ist.</w:t>
      </w:r>
    </w:p>
    <w:p>
      <w:r>
        <w:rPr>
          <w:color w:val="555555"/>
          <w:sz w:val="17"/>
        </w:rPr>
        <w:t xml:space="preserve">Zitiervorschlag: Art 10 BayGrStG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https://recht.nulegal.eu/gesetze/BayGrStG/10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