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BayGnadOV (Bayern)</w:t>
      </w:r>
    </w:p>
    <w:p>
      <w:r>
        <w:rPr>
          <w:color w:val="555555"/>
          <w:sz w:val="18"/>
        </w:rPr>
        <w:t xml:space="preserve">Verordnung über die rechtsgeschäftliche Vertretung des Freistaates Bayern bei der Leistung von Sicherheiten nach Vorschriften der Strafprozessordnung und nach § 28 Abs. 2 Satz 2 der Bayerischen Gnadenordnung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55 Nr. 2 Satz 2 der Verfassung erläßt das Bayerische Staatsministerium der Justiz folgende Verordnung:</w:t>
      </w:r>
    </w:p>
    <w:p>
      <w:r>
        <w:rPr>
          <w:color w:val="555555"/>
          <w:sz w:val="17"/>
        </w:rPr>
        <w:t xml:space="preserve">Zitiervorschlag: Eingangsformel BayGnadOV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https://recht.nulegal.eu/gesetze/BayGnadOV/eingangsformel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