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BayGnadOV (Bayern)</w:t>
      </w:r>
    </w:p>
    <w:p>
      <w:r>
        <w:rPr>
          <w:color w:val="555555"/>
          <w:sz w:val="18"/>
        </w:rPr>
        <w:t xml:space="preserve">Verordnung über die rechtsgeschäftliche Vertretung des Freistaates Bayern bei der Leistung von Sicherheiten nach Vorschriften der Strafprozessordnung und nach § 28 Abs. 2 Satz 2 der Bayerischen Gnadenordnung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der Begründung von Sicherheiten und bei Verfügungen über Sicherheiten, die nach Vorschriften der Strafprozeßordnung oder nach § 28 Abs. 2 Satz 2 der Bayerischen Gnadenordnung zugunsten des Freistaates Bayern geleistet werden, wird der Freistaat Bayern vertreten</w:t>
      </w:r>
    </w:p>
    <w:p>
      <w:r>
        <w:t xml:space="preserve">1. durch die zuständige Vollstreckungsbehörde, wenn es sich um die Begründung einer Sicherheit oder um die Verfügung über eine Sicherheit nach § 28 Abs. 2 Satz 2 der Bayerischen Gnadenordnung oder im Rahmen der Vollstreckung einer Strafe oder einer Maßregel der Besserung und Sicherung handelt,</w:t>
      </w:r>
    </w:p>
    <w:p>
      <w:r>
        <w:t xml:space="preserve">2. durch die für die Straf- oder Bußgeldsache zuständige Staatsanwaltschaft in den übrigen Fällen.</w:t>
      </w:r>
    </w:p>
    <w:p>
      <w:r>
        <w:t xml:space="preserve">[Amtl. Anm.:] BGBl. FN 312-2</w:t>
      </w:r>
    </w:p>
    <w:p>
      <w:r>
        <w:t xml:space="preserve">[Amtl. Anm.:] BayRS 313-3-J</w:t>
      </w:r>
    </w:p>
    <w:p>
      <w:r>
        <w:rPr>
          <w:color w:val="555555"/>
          <w:sz w:val="17"/>
        </w:rPr>
        <w:t xml:space="preserve">Zitiervorschlag: § 1 BayGnadOV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https://recht.nulegal.eu/gesetze/BayGnadOV/1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