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BayGnO (Bayern) — Prüfung der Gnadenfrage von Amts wegen</w:t>
      </w:r>
    </w:p>
    <w:p>
      <w:r>
        <w:rPr>
          <w:color w:val="555555"/>
          <w:sz w:val="18"/>
        </w:rPr>
        <w:t xml:space="preserve">Bayerische Gnadenordnung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Gnadenfrage ist von Amts wegen zu prüfen, wenn das erkennende Gericht oder eine andere amtlich mit der Sache befasste Stelle einen Gnadenerweis aus besonderen Gründen für angezeigt hält.</w:t>
      </w:r>
    </w:p>
    <w:p>
      <w:r>
        <w:rPr>
          <w:color w:val="555555"/>
          <w:sz w:val="17"/>
        </w:rPr>
        <w:t xml:space="preserve">Zitiervorschlag: § 7 BayGnO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https://recht.nulegal.eu/gesetze/BayGnO/7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