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BayGnO (Bayern) — Inhalt des Begnadigungsrechts</w:t>
      </w:r>
    </w:p>
    <w:p>
      <w:r>
        <w:rPr>
          <w:color w:val="555555"/>
          <w:sz w:val="18"/>
        </w:rPr>
        <w:t xml:space="preserve">Bayerische Gnadenordnung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Begnadigungsrecht umfasst insbesondere die Befugnis, rechtskräftig verhängte Kriminalstrafen, Geldbußen und Ordnungsmittel zu erlassen, zu ermäßigen, umzuwandeln oder ihre Vollstreckung dauernd oder vorübergehend auszusetzen.</w:t>
      </w:r>
    </w:p>
    <w:p>
      <w:r>
        <w:t xml:space="preserve">(2) Das Begnadigungsrecht erstreckt sich auf die Hauptstrafen, die Nebenstrafen sowie die Nebenfolgen.</w:t>
      </w:r>
    </w:p>
    <w:p>
      <w:r>
        <w:t xml:space="preserve">(3) Maßregeln der Besserung und Sicherung, andere Sicherungsmaßnahmen, die Anordnung der Einziehung sowie die in Jugendsachen zulässigen Zuchtmittel sind der Begnadigung nicht entzogen.</w:t>
      </w:r>
    </w:p>
    <w:p>
      <w:r>
        <w:rPr>
          <w:color w:val="555555"/>
          <w:sz w:val="17"/>
        </w:rPr>
        <w:t xml:space="preserve">Zitiervorschlag: § 4 BayGnO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https://recht.nulegal.eu/gesetze/BayGnO/4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