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BayGnO (Bayern) — In-Kraft-Treten, Außer-Kraft-Treten</w:t>
      </w:r>
    </w:p>
    <w:p>
      <w:r>
        <w:rPr>
          <w:color w:val="555555"/>
          <w:sz w:val="18"/>
        </w:rPr>
        <w:t xml:space="preserve">Bayerische Gnadenordnung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Bekanntmachung tritt mit Wirkung vom 1. Mai 2006 in Kraft.</w:t>
      </w:r>
    </w:p>
    <w:p>
      <w:r>
        <w:t xml:space="preserve">(2) Mit Ablauf des 30. April 2006 tritt die Bayerische Gnadenordnung vom 2. Juli 1974 (BayRS 313-3-J) außer Kraft.</w:t>
      </w:r>
    </w:p>
    <w:p>
      <w:r>
        <w:rPr>
          <w:color w:val="555555"/>
          <w:sz w:val="17"/>
        </w:rPr>
        <w:t xml:space="preserve">Zitiervorschlag: § 36 BayGnO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https://recht.nulegal.eu/gesetze/BayGnO/36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