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34 BayGnO (Bayern) — Vollstreckung der Ersatzfreiheitsstrafe</w:t>
      </w:r>
    </w:p>
    <w:p>
      <w:r>
        <w:rPr>
          <w:color w:val="555555"/>
          <w:sz w:val="18"/>
        </w:rPr>
        <w:t xml:space="preserve">Bayerische Gnadenordnung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Vollstreckungsbehörde setzt die Vollstreckung der Ersatzfreiheitsstrafe fort, wenn</w:t>
      </w:r>
    </w:p>
    <w:p>
      <w:r>
        <w:t xml:space="preserve">1. Gründe vorliegen, die zur Rücknahme eines Gnadenerweises berechtigen würden (§ 35); eine Verurteilung im Sinn des § 35 Abs. 1 Satz 1 Nr. 2 ist nicht erforderlich,</w:t>
      </w:r>
    </w:p>
    <w:p>
      <w:r>
        <w:t xml:space="preserve">2. der Verurteilte erneut eine Straftat begeht,</w:t>
      </w:r>
    </w:p>
    <w:p>
      <w:r>
        <w:t xml:space="preserve">3. der Verurteilte die zugewiesene Arbeit ohne hinreichende Entschuldigung nicht aufnimmt oder nicht fortsetzt,</w:t>
      </w:r>
    </w:p>
    <w:p>
      <w:r>
        <w:t xml:space="preserve">4. der Verurteilte die zugewiesene Arbeit nicht ordnungsgemäß leistet oder sonst durch sein Verhalten die Weiterbeschäftigung unzumutbar macht oder</w:t>
      </w:r>
    </w:p>
    <w:p>
      <w:r>
        <w:t xml:space="preserve">5. der Verurteilte die Bestätigung über die geleistete Arbeit nicht fristgemäß vorlegt und eine solche Bestätigung auch nicht in anderer Weise beschafft werden kann.</w:t>
      </w:r>
    </w:p>
    <w:p>
      <w:r>
        <w:t xml:space="preserve">(2) Die bis zur Fortsetzung der Vollstreckung der Ersatzfreiheitsstrafe erbrachte Arbeitsleistung kann auf die Geldstrafe angerechnet werden.</w:t>
      </w:r>
    </w:p>
    <w:p>
      <w:r>
        <w:rPr>
          <w:color w:val="555555"/>
          <w:sz w:val="17"/>
        </w:rPr>
        <w:t xml:space="preserve">Zitiervorschlag: § 34 BayGnO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https://recht.nulegal.eu/gesetze/BayGnO/34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