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BayGnO (Bayern) — Aussetzung von Fahrverboten im Weg der Gnade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Gesuche um Aussetzung von gerichtlich verhängten Fahrverboten entscheidet die Vollstreckungsbehörde, soweit nicht nach § 5 Abs. 2 oder nach anderen Vorschriften eine Entscheidung herbeizuführen ist. Insoweit obliegt ihr auch die vorbereitende Behandlung der Gesuche. § 9 Abs. 2 gilt entsprechend.</w:t>
      </w:r>
    </w:p>
    <w:p>
      <w:r>
        <w:t xml:space="preserve">(2) Für Gesuche um Anrechnung der Dauer der amtlichen Verwahrung des Führerscheins vor Rechtskraft der gerichtlichen Entscheidung gilt Abs. 1 entsprechend, sofern ein nach § 13 angehörtes Gericht dem Gnadengesuch nicht entgegengetreten ist.</w:t>
      </w:r>
    </w:p>
    <w:p>
      <w:r>
        <w:rPr>
          <w:color w:val="555555"/>
          <w:sz w:val="17"/>
        </w:rPr>
        <w:t xml:space="preserve">Zitiervorschlag: § 30a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https://recht.nulegal.eu/gesetze/BayGnO/30a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