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BayGnO (Bayern) — Stundung und Bewilligung von Teilzahlungen im Weg der Gnade</w:t>
      </w:r>
    </w:p>
    <w:p>
      <w:r>
        <w:rPr>
          <w:color w:val="555555"/>
          <w:sz w:val="18"/>
        </w:rPr>
        <w:t xml:space="preserve">Bayerische Gnadenordnung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Über Gesuche um Stundung oder Bewilligung von Teilzahlungen für Geldstrafen, Ordnungsgelder und Wertersatzstrafen, die Abführung von Mehrerlös sowie von Geldbeträgen, die eingezogen worden sind, entscheidet die Vollstreckungsbehörde, soweit nicht nach § 5 Abs. 3 oder nach anderen Vorschriften eine Entscheidung herbeizuführen ist. Insoweit obliegt ihr auch die vorbereitende Behandlung der Gesuche. § 9 Abs. 2 gilt entsprechend.</w:t>
      </w:r>
    </w:p>
    <w:p>
      <w:r>
        <w:t xml:space="preserve">(2) Wird um Aufschub oder Unterbrechung einer Ersatzfreiheitsstrafe gebeten, so kann die darüber befindende Stelle auch Stundung oder Teilzahlungen im Sinn des Abs. 1 bewilligen.</w:t>
      </w:r>
    </w:p>
    <w:p>
      <w:r>
        <w:rPr>
          <w:color w:val="555555"/>
          <w:sz w:val="17"/>
        </w:rPr>
        <w:t xml:space="preserve">Zitiervorschlag: § 30 BayGnO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https://recht.nulegal.eu/gesetze/BayGnO/30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