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BayGnO (Bayern) — Zuständigkeit für Strafunterbrechung und für die Unterbrechung von Maßregeln der Besserung und Sicherung</w:t>
      </w:r>
    </w:p>
    <w:p>
      <w:r>
        <w:rPr>
          <w:color w:val="555555"/>
          <w:sz w:val="18"/>
        </w:rPr>
        <w:t xml:space="preserve">Bayerische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Über Gesuche um Unterbrechung der zeitigen Strafhaft im Weg der Gnade sowie um Verlängerung von gnadenweise bewilligter Strafunterbrechung entscheidet der Generalstaatsanwalt.</w:t>
      </w:r>
    </w:p>
    <w:p>
      <w:r>
        <w:t xml:space="preserve">(2) Der Generalstaatsanwalt entscheidet auch über Gesuche um Unterbrechung von Maßregeln der Besserung und Sicherung, die mit Freiheitsentzug verbunden sind.</w:t>
      </w:r>
    </w:p>
    <w:p>
      <w:r>
        <w:t xml:space="preserve">(3) Die Vollstreckungsbehörde darf die Vollstreckung nicht vorläufig einstellen.</w:t>
      </w:r>
    </w:p>
    <w:p>
      <w:r>
        <w:rPr>
          <w:color w:val="555555"/>
          <w:sz w:val="17"/>
        </w:rPr>
        <w:t xml:space="preserve">Zitiervorschlag: § 26 BayGnO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https://recht.nulegal.eu/gesetze/BayGnO/26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