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BayGnO (Bayern) — Begriffsbestimmung</w:t>
      </w:r>
    </w:p>
    <w:p>
      <w:r>
        <w:rPr>
          <w:color w:val="555555"/>
          <w:sz w:val="18"/>
        </w:rPr>
        <w:t xml:space="preserve">Bayerische Gnadenordnung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Eine nicht durch besondere gesetzliche Vorschriften zugelassene vorübergehende Aussetzung der Vollstreckung ist Ausübung des Begnadigungsrechts, gleichviel, ob sie vor dem Vollzug (Aufschub) oder während des Vollzugs (Unterbrechung) angeordnet wird.</w:t>
      </w:r>
    </w:p>
    <w:p>
      <w:r>
        <w:rPr>
          <w:color w:val="555555"/>
          <w:sz w:val="17"/>
        </w:rPr>
        <w:t xml:space="preserve">Zitiervorschlag: § 24 BayGnO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https://recht.nulegal.eu/gesetze/BayGnO/24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