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BayGnO (Bayern) — Anhörung anderer Stellen</w:t>
      </w:r>
    </w:p>
    <w:p>
      <w:r>
        <w:rPr>
          <w:color w:val="555555"/>
          <w:sz w:val="18"/>
        </w:rPr>
        <w:t xml:space="preserve">Bayerische Gnadenordnung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Auch anderen als den in § 13 genannten Stellen, insbesondere dem Vormundschaftsgericht oder dem Jugendamt, soll Gelegenheit zur Äußerung gegeben werden, wenn anzunehmen ist, dass die Äußerung für die Entscheidung über das Gnadengesuch Bedeutung haben kann.</w:t>
      </w:r>
    </w:p>
    <w:p>
      <w:r>
        <w:t xml:space="preserve">(2) Hat bei einer Ordnungswidrigkeit ein ordentliches Gericht entschieden, so ist in Fällen besonderer Bedeutung dem fachlich zuständigen Staatsministerium über das Staatsministerium der Justiz Gelegenheit zur Äußerung zu geben.</w:t>
      </w:r>
    </w:p>
    <w:p>
      <w:r>
        <w:rPr>
          <w:color w:val="555555"/>
          <w:sz w:val="17"/>
        </w:rPr>
        <w:t xml:space="preserve">Zitiervorschlag: § 14 BayGnO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https://recht.nulegal.eu/gesetze/BayGnO/14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