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BayGnO (Bayern) — Behandlung der Gnadengesuche</w:t>
      </w:r>
    </w:p>
    <w:p>
      <w:r>
        <w:rPr>
          <w:color w:val="555555"/>
          <w:sz w:val="18"/>
        </w:rPr>
        <w:t xml:space="preserve">Bayerische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Gnadengesuche behandelt die Staatsanwaltschaft, auch soweit sie am Verfahren nicht beteiligt war.</w:t>
      </w:r>
    </w:p>
    <w:p>
      <w:r>
        <w:t xml:space="preserve">(2) Bezieht sich das Gesuch auf eine Gesamtstrafe, deren Einzelstrafen von verschiedenen Gerichten ausgesprochen sind, so behandelt das Gesuch die Staatsanwaltschaft bei dem Gericht, das die Gesamtstrafe gebildet hat.</w:t>
      </w:r>
    </w:p>
    <w:p>
      <w:r>
        <w:rPr>
          <w:color w:val="555555"/>
          <w:sz w:val="17"/>
        </w:rPr>
        <w:t xml:space="preserve">Zitiervorschlag: § 10 BayGnO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https://recht.nulegal.eu/gesetze/BayGnO/10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