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BayGlG (Bayern)</w:t>
      </w:r>
    </w:p>
    <w:p>
      <w:r>
        <w:rPr>
          <w:color w:val="555555"/>
          <w:sz w:val="18"/>
        </w:rPr>
        <w:t xml:space="preserve">Bayerisches Gleichstellungsgesetz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BayGlG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