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BayGlG (Bayern) — Fortbildung</w:t>
      </w:r>
    </w:p>
    <w:p>
      <w:r>
        <w:rPr>
          <w:color w:val="555555"/>
          <w:sz w:val="18"/>
        </w:rPr>
        <w:t xml:space="preserve">Bayerisches 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Frauen und Männer sind bei der Auswahl der Teilnehmenden an Fortbildungsveranstaltungen im Regelfall entsprechend ihrem Anteil an der jeweiligen Zielgruppe der Fortbildung zu berücksichtigen.</w:t>
      </w:r>
    </w:p>
    <w:p>
      <w:r>
        <w:t xml:space="preserve">(2) Auch Beschäftigten mit Familienaufgaben und Teilzeitbeschäftigten ist die Teilnahme an Fortbildungsveranstaltungen in geeigneter Weise zu ermöglichen.</w:t>
      </w:r>
    </w:p>
    <w:p>
      <w:r>
        <w:t xml:space="preserve">(3) Fortbildungskurse, die den Beschäftigten den beruflichen Aufstieg, insbesondere auch aus den unteren Einkommensgruppen, erleichtern, sind in ausreichendem Umfang anzubieten; Abs. 1 gilt entsprechend.</w:t>
      </w:r>
    </w:p>
    <w:p>
      <w:r>
        <w:t xml:space="preserve">(4) Im Rahmen der Fortbildungsangebote sind, insbesondere für Beschäftigte im Organisations- und Personalwesen sowie in Vorgesetzten- und Leitungsfunktionen, folgende Themen vorzusehen:</w:t>
      </w:r>
    </w:p>
    <w:p>
      <w:r>
        <w:t xml:space="preserve">1. Chancengleichheit,</w:t>
      </w:r>
    </w:p>
    <w:p>
      <w:r>
        <w:t xml:space="preserve">2. geschlechtersensible Sichtweise,</w:t>
      </w:r>
    </w:p>
    <w:p>
      <w:r>
        <w:t xml:space="preserve">3. Gleichstellung und</w:t>
      </w:r>
    </w:p>
    <w:p>
      <w:r>
        <w:t xml:space="preserve">4. Verhinderung der Benachteiligung aufgrund des Geschlechts am Arbeitsplatz.</w:t>
      </w:r>
    </w:p>
    <w:p>
      <w:r>
        <w:rPr>
          <w:color w:val="555555"/>
          <w:sz w:val="17"/>
        </w:rPr>
        <w:t xml:space="preserve">Zitiervorschlag: Art 9 BayGlG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https://recht.nulegal.eu/gesetze/BayGlG/9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