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BayGlG (Bayern) — Aufstellung von Gleichstellungskonzepten</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Dienststellen erstellen alle fünf Jahre nach Maßgabe ihrer dienst- oder arbeitsrechtlichen Zuständigkeit unter frühzeitiger Mitwirkung der Gleichstellungsbeauftragten, soweit solche nicht bestellt sind, der Ansprechpartnerinnen und Ansprechpartner, ein Gleichstellungskonzept. Die Dienststelle kann von der Erstellung von Gleichstellungskonzepten absehen, soweit nur geringfügige Befugnisse zur Vornahme von Einstellungen, Ernennungen, Beförderungen oder Übertragungen höher zu bewertender Tätigkeiten bestehen oder weniger als regelmäßig 100 Beschäftigte betroffen sind; dies gilt nicht für oberste Landesbehörden. Dienststellen, die nach Art. 3 Abs. 2 Satz 2 die Aufgaben anderer Dienststellen wahrnehmen, erstellen für den gesamten Bereich, für den sie zuständig sind, ein Gleichstellungskonzept. Dienststellen, in denen nach Satz 2 kein Gleichstellungskonzept erstellt werden muss, können im Konzept der übergeordneten Behörde berücksichtigt werden, auch wenn die Voraussetzungen des Art. 3 Abs. 2 Satz 2 nicht vorliegen. Ändern sich wesentliche Voraussetzungen des Gleichstellungskonzepts, so ist dieses an die Entwicklung anzupassen.</w:t>
      </w:r>
    </w:p>
    <w:p>
      <w:r>
        <w:t xml:space="preserve">(2) Die Dienststellen erstellen nach der halben Laufzeit der Gleichstellungskonzepte eine tabellarische Datenübersicht über die Anteile von Frauen und Männern in der Dienststelle. Die Inhalte richten sich nach den von der beim Staatsministerium für Familie, Arbeit und Soziales (Staatsministerium) bestehenden Leitstelle für die Gleichstellung von Frauen und Männern zur Verfügung gestellten Mustervorlagen. Abs. 1 Satz 2 bis 4 gilt entsprechend.</w:t>
      </w:r>
    </w:p>
    <w:p>
      <w:r>
        <w:t xml:space="preserve">(3) Kreisangehörige Gemeinden können im Rahmen ihrer Leistungsfähigkeit ein Gleichstellungskonzept erstellen.</w:t>
      </w:r>
    </w:p>
    <w:p>
      <w:r>
        <w:t xml:space="preserve">(4) Daten, die Rückschlüsse auf Einzelpersonen zulassen, insbesondere solche, die auf einer Datenbasis von weniger als fünf Personen beruhen, dürfen in den Gleichstellungskonzepten nach Abs. 1 sowie den tabellarischen Datenübersichten nach Abs. 2 nicht angegeben werden.</w:t>
      </w:r>
    </w:p>
    <w:p>
      <w:r>
        <w:rPr>
          <w:color w:val="555555"/>
          <w:sz w:val="17"/>
        </w:rPr>
        <w:t xml:space="preserve">Zitiervorschlag: Art 4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