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BayGlG (Bayern) — Begriffsbestimmungen</w:t>
      </w:r>
    </w:p>
    <w:p>
      <w:r>
        <w:rPr>
          <w:color w:val="555555"/>
          <w:sz w:val="18"/>
        </w:rPr>
        <w:t xml:space="preserve">Bayerisches 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im Sinn dieses Gesetzes sind alle Bediensteten unabhängig davon, ob der Beschäftigung ein Beamten-, Richter-, Arbeits- oder Ausbildungsverhältnis zugrunde liegt, es sei denn, das Beschäftigungsverhältnis beruht auf einer Wahl. Bei den Angaben von Beschäftigtenzahlen in Art. 4 Abs. 1 Satz 2 und Art. 13 Abs. 1 Satz 2 werden die Beschäftigten pro Person gezählt. Art. 4 Abs. 2 bis 5 des Bayerischen Personalvertretungsgesetzes (BayPVG) gilt entsprechend.</w:t>
      </w:r>
    </w:p>
    <w:p>
      <w:r>
        <w:t xml:space="preserve">(2) Dienststellen im Sinn dieses Gesetzes sind die Dienststellen im Sinn des Art. 6 Abs. 1 BayPVG; Art. 6 Abs. 2, 4, 5 Satz 1 und Abs. 6 BayPVG gilt entsprechend. Soweit Dienststellen für andere Dienststellen Befugnisse zur Vornahme von Einstellungen, Ernennungen, Beförderungen oder Übertragungen höher zu bewertender Tätigkeiten ausüben, haben sie insoweit die Aufgaben der ihr unterstellten Dienststellen nach diesem Gesetz wahrzunehmen; die Aufgaben der Ansprechpartnerinnen und Ansprechpartner bleiben hiervon unberührt.</w:t>
      </w:r>
    </w:p>
    <w:p>
      <w:r>
        <w:t xml:space="preserve">(3) Gremien im Sinn dieses Gesetzes sind Vorstände, Beiräte, Kommissionen, Ausschüsse, Verwaltungs- und Aufsichtsräte sowie vergleichbare Organe. Dies gilt nicht für die Mitglieder der Staatsregierung, für den Landtag, für die Gerichtsbarkeit und für die Mitgliedschaft in Gremien, soweit hierfür durch Rechtsnormen oder Vereinssatzungen ein Wahlverfahren vorgeschrieben ist.</w:t>
      </w:r>
    </w:p>
    <w:p>
      <w:r>
        <w:t xml:space="preserve">(4) Berichtsjahr im Sinne des Art. 5 Abs. 1 ist das Jahr, in dem das Gleichstellungskonzept zu erstellen ist.</w:t>
      </w:r>
    </w:p>
    <w:p>
      <w:r>
        <w:t xml:space="preserve">(5) Familienaufgaben im Sinne dieses Gesetzes liegen vor, wenn die Voraussetzungen des Art. 89 Abs. 1 Nr. 1 des Bayerischen Beamtengesetzes bei den jeweiligen Beschäftigten gegeben sind.</w:t>
      </w:r>
    </w:p>
    <w:p>
      <w:r>
        <w:t xml:space="preserve">(6) Unternehmen mit Mehrheitsbeteiligung des Freistaates Bayern im Sinne des Art. 20 Abs. 2 sind Aktiengesellschaften, Gesellschaften mit beschränkter Haftung und Europäische Gesellschaften (Societas Europaea – SE), jeweils mit Sitz im Inland,</w:t>
      </w:r>
    </w:p>
    <w:p>
      <w:r>
        <w:t xml:space="preserve">1. deren Anteile zur Mehrheit vom Freistaat Bayern gehalten werden,</w:t>
      </w:r>
    </w:p>
    <w:p>
      <w:r>
        <w:t xml:space="preserve">2. die große Kapitalgesellschaften (§ 267 Abs. 3 des Handelsgesetzbuches) sind und deren Anteile zur Mehrheit von Gesellschaften gehalten werden, deren Anteile ihrerseits zur Mehrheit vom Freistaat Bayern gehalten werden, oder</w:t>
      </w:r>
    </w:p>
    <w:p>
      <w:r>
        <w:t xml:space="preserve">3. die in der Regel mehr als 500 Arbeitnehmerinnen und Arbeitnehmer haben und deren Anteile zur Mehrheit von Gesellschaften gehalten werden, deren Anteile ihrerseits zur Mehrheit</w:t>
      </w:r>
    </w:p>
    <w:p>
      <w:r>
        <w:t xml:space="preserve">a) vom Freistaat Bayern gehalten werden oder</w:t>
      </w:r>
    </w:p>
    <w:p>
      <w:r>
        <w:t xml:space="preserve">b) von Gesellschaften gehalten werden, bei denen sich die Inhaberschaften an den Anteilen in dieser Weise bis zu Gesellschaften fortsetzen, deren Anteile zur Mehrheit vom Freistaat Bayern gehalten werden.</w:t>
      </w:r>
    </w:p>
    <w:p>
      <w:r>
        <w:t xml:space="preserve">Anteile, die über ein Sondervermögen des Freistaates Bayern gehalten werden, bleiben außer Betracht. Dem Freistaat Bayern stehen öffentlich-rechtliche Anstalten des Freistaates Bayern, die unternehmerisch tätig sind, gleich.</w:t>
      </w:r>
    </w:p>
    <w:p>
      <w:r>
        <w:rPr>
          <w:color w:val="555555"/>
          <w:sz w:val="17"/>
        </w:rPr>
        <w:t xml:space="preserve">Zitiervorschlag: Art 3 BayGlG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https://recht.nulegal.eu/gesetze/BayGlG/3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