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22 BayGlG (Bayern) — Inkrafttreten</w:t>
      </w:r>
    </w:p>
    <w:p>
      <w:r>
        <w:rPr>
          <w:color w:val="555555"/>
          <w:sz w:val="18"/>
        </w:rPr>
        <w:t xml:space="preserve">Bayerisches Gleichstellungsgesetz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tritt am 1. Juli 1996 in Kraft.</w:t>
      </w:r>
    </w:p>
    <w:p>
      <w:r>
        <w:rPr>
          <w:color w:val="555555"/>
          <w:sz w:val="17"/>
        </w:rPr>
        <w:t xml:space="preserve">Zitiervorschlag: Art 22 BayGlG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https://recht.nulegal.eu/gesetze/BayGlG/22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