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21 BayGlG (Bayern) — Übergangsvorschriften</w:t>
      </w:r>
    </w:p>
    <w:p>
      <w:r>
        <w:rPr>
          <w:color w:val="555555"/>
          <w:sz w:val="18"/>
        </w:rPr>
        <w:t xml:space="preserve">Bayerisches Gleichstellungsgesetz</w:t>
      </w:r>
    </w:p>
    <w:p>
      <w:r>
        <w:rPr>
          <w:color w:val="555555"/>
          <w:sz w:val="18"/>
        </w:rPr>
        <w:t xml:space="preserve">Landesrecht Bayern</w:t>
      </w:r>
    </w:p>
    <w:p>
      <w:r>
        <w:rPr>
          <w:color w:val="555555"/>
          <w:sz w:val="18"/>
        </w:rPr>
        <w:t xml:space="preserve">Stand: 25.08.2026 (konsolidierte Textfassung, kein amtliches Inkrafttretensdatum)</w:t>
      </w:r>
    </w:p>
    <w:p>
      <w:r>
        <w:t xml:space="preserve">(1) Gleichstellungskonzepte nach den Vorschriften der Art. 4 und 5 sind erstmals zum Stichtag 30. Juni 2026 zu erstellen.</w:t>
      </w:r>
    </w:p>
    <w:p>
      <w:r>
        <w:t xml:space="preserve">(2) Die Gleichstellungskonzepte sind der beim Staatsministerium bestehenden Leitstelle für die Gleichstellung von Frauen und Männern nach Art. 6 Abs. 3 erstmals bis zum 31. Dezember 2026 zur Kenntnis zu geben. Die tabellarischen Datenübersichten sind erstmals zum Stichtag 31. Dezember 2028 zu erstellen und der beim Staatsministerium bestehenden Leitstelle für die Gleichstellung von Frauen und Männern erstmals bis zum 30. Juni 2029 zur Kenntnis zu geben.</w:t>
      </w:r>
    </w:p>
    <w:p>
      <w:r>
        <w:t xml:space="preserve">(3) Das Beteiligungsgebot für den Vorstand oder für Geschäftsführer nach Art. 20 Abs. 2 ist erstmals ab dem 1. September 2028 bei der Bestellung einzelner oder mehrerer Vorstandsmitglieder oder Geschäftsführer einzuhalten. Der jeweilige Mindestanteil von Frauen und Männern im Aufsichtsrat nach Art. 20 Abs. 2 ist erstmals bei erforderlich werdenden Besetzungen einzelner oder mehrerer Sitze ab dem 1. September 2028 zu beachten. Reicht die Anzahl der zu besetzenden Sitze nicht aus, um den Mindestanteil zu erreichen, sind diese Sitze mit Personen des unterrepräsentierten Geschlechts zu besetzen, um dessen Anteil sukzessive zu steigern. Bestehende Mandate können in den Fällen der Sätze 1 bis 3 bis zu ihrem vorgesehenen Ende wahrgenommen werden.</w:t>
      </w:r>
    </w:p>
    <w:p>
      <w:r>
        <w:rPr>
          <w:color w:val="555555"/>
          <w:sz w:val="17"/>
        </w:rPr>
        <w:t xml:space="preserve">Zitiervorschlag: Art 21 BayGlG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https://recht.nulegal.eu/gesetze/BayGlG/21</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