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20 BayGlG (Bayern) — Vertretung von Frauen und Männern in Gremien</w:t>
      </w:r>
    </w:p>
    <w:p>
      <w:r>
        <w:rPr>
          <w:color w:val="555555"/>
          <w:sz w:val="18"/>
        </w:rPr>
        <w:t xml:space="preserve">Bayerisches Gleichstellungsgesetz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Alle an Besetzungsverfahren von Gremien Beteiligten, auch wenn es sich dabei um gesellschaftliche Institutionen, Organisationen, Verbände und Gruppen handelt, die nicht Träger öffentlicher Verwaltung sind, haben nach Maßgabe dieses Gesetzes auf eine gleichberechtigte Teilhabe von Frauen und Männern in Gremien hinzuwirken.</w:t>
      </w:r>
    </w:p>
    <w:p>
      <w:r>
        <w:t xml:space="preserve">(2) Für Unternehmen mit Mehrheitsbeteiligung des Freistaates Bayern gelten § 393a Abs. 2 des Aktiengesetzes, § 77a Abs. 2 und 3 des Gesetzes betreffend die Gesellschaften mit beschränkter Haftung sowie § 52a Abs. 2 des SE-Ausführungsgesetzes entsprechend. Für Unternehmen mit Mehrheitsbeteiligung des Freistaates Bayern, die der Mitbestimmung unterliegen, gelten die gesetzlichen Regelungen und Wahlordnungen zur Mitbestimmung in Unternehmen mit Mehrheitsbeteiligung des Bundes entsprechend.</w:t>
      </w:r>
    </w:p>
    <w:p>
      <w:r>
        <w:rPr>
          <w:color w:val="555555"/>
          <w:sz w:val="17"/>
        </w:rPr>
        <w:t xml:space="preserve">Zitiervorschlag: Art 20 BayGlG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https://recht.nulegal.eu/gesetze/BayGlG/20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