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BayGlG (Bayern) — Ziele des Gesetzes</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Verwirklichung der Gleichstellung von Frauen und Männern im öffentlichen Dienst in Bayern wird nach Maßgabe dieses Gesetzes unter Wahrung des Vorrangs von Eignung, Befähigung und fachlicher Leistung (Art. 94 Abs. 2 der Verfassung) gefördert. Ziel dieses Gesetzes ist die Chancengleichheit von Frauen und Männern. Ziel der Förderung ist insbesondere</w:t>
      </w:r>
    </w:p>
    <w:p>
      <w:r>
        <w:t xml:space="preserve">1. die Erhöhung der Frauen- und Männeranteile in Bereichen, in denen sie jeweils geringer beschäftigt sind als der andere Anteil,</w:t>
      </w:r>
    </w:p>
    <w:p>
      <w:r>
        <w:t xml:space="preserve">2. die Chancengleichheit von Frauen und Männern zu sichern,</w:t>
      </w:r>
    </w:p>
    <w:p>
      <w:r>
        <w:t xml:space="preserve">3. auf eine bessere Vereinbarkeit von Familie und Erwerbstätigkeit für Frauen und Männer hinzuwirken.</w:t>
      </w:r>
    </w:p>
    <w:p>
      <w:r>
        <w:t xml:space="preserve">Eine geringere Beschäftigung von Frauen oder Männern im Sinne dieses Gesetzes liegt vor, wenn der Frauen- oder Männeranteil innerhalb einer Dienststelle in einem Bereich erheblich unter 50 % liegt. Jede Entgelt- oder Besoldungsgruppe im Zusammenhang mit der Leistungs- oder Fachlaufbahn bildet einen Bereich.</w:t>
      </w:r>
    </w:p>
    <w:p>
      <w:r>
        <w:t xml:space="preserve">(2) Weiteres Ziel ist es, auf die gleichberechtigte Teilhabe von Frauen und Männern in Gremien hinzuwirken.</w:t>
      </w:r>
    </w:p>
    <w:p>
      <w:r>
        <w:t xml:space="preserve">(3) Ziel ist ferner, dass alle Beschäftigten, besonders in Vorgesetzten- und Leitungsfunktionen,</w:t>
      </w:r>
    </w:p>
    <w:p>
      <w:r>
        <w:t xml:space="preserve">1. die tatsächliche Durchsetzung der Gleichberechtigung von Frauen und Männern fördern,</w:t>
      </w:r>
    </w:p>
    <w:p>
      <w:r>
        <w:t xml:space="preserve">2. auf die Beseitigung bestehender Nachteile hinwirken,</w:t>
      </w:r>
    </w:p>
    <w:p>
      <w:r>
        <w:t xml:space="preserve">3. die Chancengleichheit in allen Aufgabenbereichen als durchgängiges Leitprinzip berücksichtigen.</w:t>
      </w:r>
    </w:p>
    <w:p>
      <w:r>
        <w:rPr>
          <w:color w:val="555555"/>
          <w:sz w:val="17"/>
        </w:rPr>
        <w:t xml:space="preserve">Zitiervorschlag: Art 2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