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BayGlG (Bayern) — Teilzeitarbeit, flexible Arbeitszeiten und mobiles Arbeiten</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Berücksichtigung der Funktionsfähigkeit der Verwaltung und der personalwirtschaftlichen und organisatorischen Möglichkeiten ist ein ausreichendes Angebot an Teilzeitarbeitsplätzen zu schaffen. Dies gilt auch für Stellen mit Vorgesetzten- oder Leitungsaufgaben. Die Wahrnehmung von Vorgesetzten- und Leitungsaufgaben ist grundsätzlich auch bei Reduzierung der Arbeitszeit aufgrund von Familienaufgaben möglich. Es ist darauf hinzuwirken, dass sich daraus für die Teilzeitbeschäftigten und die übrigen Beschäftigten keine Mehrbelastungen ergeben. Die Sätze 1 und 4 gelten entsprechend für mobiles Arbeiten.</w:t>
      </w:r>
    </w:p>
    <w:p>
      <w:r>
        <w:t xml:space="preserve">(2) Streben Beschäftigte, die aus familiären Gründen teilzeitbeschäftigt sind, wieder eine Vollzeitbeschäftigung an, sollen sie bei der Neubesetzung eines gleichwertigen Arbeitsplatzes, unter Wahrung des Vorrangs von Eignung, Befähigung und fachlicher Leistung sowie der personalwirtschaftlichen Möglichkeiten vorrangig berücksichtigt werden.</w:t>
      </w:r>
    </w:p>
    <w:p>
      <w:r>
        <w:t xml:space="preserve">(3) Soweit dienstliche Belange nicht entgegenstehen, soll im Rahmen der gesetzlichen, tarifvertraglichen und sonstigen Regelungen der Arbeitszeit im Einzelfall Beschäftigten mit Familienaufgaben bei Notwendigkeit über die gleitende Arbeitszeit hinaus eine flexible Gestaltung der Arbeitszeit ermöglicht werden.</w:t>
      </w:r>
    </w:p>
    <w:p>
      <w:r>
        <w:rPr>
          <w:color w:val="555555"/>
          <w:sz w:val="17"/>
        </w:rPr>
        <w:t xml:space="preserve">Zitiervorschlag: Art 10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BayGlG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