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BayGlG (Bayern) — Geltungsbereich</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Dieses Gesetz gilt, soweit gesetzlich nichts anderes bestimmt ist, für die Behörden, Gerichte und sonstigen öffentlichen Stellen des Freistaates Bayern, die Gemeinden, Gemeindeverbände und die sonstigen der Aufsicht des Freistaates Bayern unterstehenden juristischen Personen des öffentlichen Rechts. Es ist darauf hinzuwirken, daß Vereinigungen, Einrichtungen und Unternehmen, deren Anteile sich unmittelbar oder mittelbar ganz oder überwiegend in öffentlicher Hand befinden, die Ziele dieses Gesetzes berücksichtigen.</w:t>
      </w:r>
    </w:p>
    <w:p>
      <w:r>
        <w:t xml:space="preserve">(2) Dieses Gesetz findet keine Anwendung auf die Religionsgemeinschaften sowie ihre erzieherischen und karitativen Einrichtungen ohne Rücksicht auf ihre Rechtsform.</w:t>
      </w:r>
    </w:p>
    <w:p>
      <w:r>
        <w:t xml:space="preserve">(3) Die Vorschriften dieses Gesetzes sind nicht anzuwenden, wenn die Gleichstellung in besonderen Rechtsvorschriften geregelt ist.</w:t>
      </w:r>
    </w:p>
    <w:p>
      <w:r>
        <w:rPr>
          <w:color w:val="555555"/>
          <w:sz w:val="17"/>
        </w:rPr>
        <w:t xml:space="preserve">Zitiervorschlag: Art 1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