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BayGastV (Bayern)</w:t>
      </w:r>
    </w:p>
    <w:p>
      <w:r>
        <w:rPr>
          <w:color w:val="555555"/>
          <w:sz w:val="18"/>
        </w:rPr>
        <w:t xml:space="preserve">Bayerische Gaststättenverordnung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BayGastV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