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BayGastV (Bayern) — Ordnungswidrigkeiten</w:t>
      </w:r>
    </w:p>
    <w:p>
      <w:r>
        <w:rPr>
          <w:color w:val="555555"/>
          <w:sz w:val="18"/>
        </w:rPr>
        <w:t xml:space="preserve">Bayerische Gaststättenverordnung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§ 28 Abs. 1 Nr. 12 und Abs. 3 GastG handelt ordnungswidrig, wer vorsätzlich oder fahrlässig</w:t>
      </w:r>
    </w:p>
    <w:p>
      <w:r>
        <w:t xml:space="preserve">1. entgegen § 5 oder einer auf Grund des § 3 begründeten Verpflichtung die Anzeige nicht, nicht richtig, nicht vollständig oder nicht rechtzeitig erstattet,</w:t>
      </w:r>
    </w:p>
    <w:p>
      <w:r>
        <w:t xml:space="preserve">2. den Vorschriften des § 4 Abs. 2 zuwiderhandelt,</w:t>
      </w:r>
    </w:p>
    <w:p>
      <w:r>
        <w:t xml:space="preserve">3. den Vorschriften des § 6 in Verbindung mit §§ 4 und 5 zuwiderhandelt,</w:t>
      </w:r>
    </w:p>
    <w:p>
      <w:r>
        <w:t xml:space="preserve">4. Personen ohne die auf Grund einer Verpflichtung nach § 3 Abs. 2 erforderliche Erlaubnis beschäftigt.</w:t>
      </w:r>
    </w:p>
    <w:p>
      <w:r>
        <w:rPr>
          <w:color w:val="555555"/>
          <w:sz w:val="17"/>
        </w:rPr>
        <w:t xml:space="preserve">Zitiervorschlag: § 9 BayGastV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https://recht.nulegal.eu/gesetze/BayGastV/9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