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BayGastV (Bayern) — Ausnahmen von der Sperrzeit</w:t>
      </w:r>
    </w:p>
    <w:p>
      <w:r>
        <w:rPr>
          <w:color w:val="555555"/>
          <w:sz w:val="18"/>
        </w:rPr>
        <w:t xml:space="preserve">Bayerische Gaststättenverordnung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Ermächtigung nach dem Gaststättengesetz, bei Vorliegen eines öffentlichen Bedürfnisses oder besonderer örtlicher Verhältnisse die Sperrzeit allgemein zu verlängern, zu verkürzen oder aufzuheben, wird übertragen auf das Staatsministerium des Innern, für Sport und Integration und die Gemeinden.</w:t>
      </w:r>
    </w:p>
    <w:p>
      <w:r>
        <w:t xml:space="preserve">(2) Unter den Voraussetzungen des Abs. 1 können die Gemeinden für einzelne Betriebe durch Verwaltungsakt den Beginn der Sperrzeit bis höchstens 19 Uhr vorverlegen und das Ende der Sperrzeit bis 8 Uhr hinausschieben oder die Sperrzeit befristet und widerruflich aufheben.</w:t>
      </w:r>
    </w:p>
    <w:p>
      <w:r>
        <w:rPr>
          <w:color w:val="555555"/>
          <w:sz w:val="17"/>
        </w:rPr>
        <w:t xml:space="preserve">Zitiervorschlag: § 8 BayGastV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