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BayGastV (Bayern) — Allgemeine Sperrzeit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Sperrzeit für Schank- und Speisewirtschaften sowie für öffentliche Vergnügungsstätten beginnt um 5 Uhr und endet um 6 Uhr.</w:t>
      </w:r>
    </w:p>
    <w:p>
      <w:r>
        <w:t xml:space="preserve">(2) Abs. 1 gilt nicht</w:t>
      </w:r>
    </w:p>
    <w:p>
      <w:r>
        <w:t xml:space="preserve">1. in der Nacht zum 1. Januar,</w:t>
      </w:r>
    </w:p>
    <w:p>
      <w:r>
        <w:t xml:space="preserve">2. auf Schiffen und Kraftfahrzeugen, wenn sich der Betrieb auf die Fahrgäste beschränkt,</w:t>
      </w:r>
    </w:p>
    <w:p>
      <w:r>
        <w:t xml:space="preserve">3. auf Autohöfen, die auf Autobahnen mit Zeichen 448.1 der Straßenverkehrsordnung angekündigt wurden; § 8 Abs. 2 bleibt unberührt.</w:t>
      </w:r>
    </w:p>
    <w:p>
      <w:r>
        <w:rPr>
          <w:color w:val="555555"/>
          <w:sz w:val="17"/>
        </w:rPr>
        <w:t xml:space="preserve">Zitiervorschlag: § 7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