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BayGastV (Bayern) — Altrechtlich erlaubnisfreier Ausschank</w:t>
      </w:r>
    </w:p>
    <w:p>
      <w:r>
        <w:rPr>
          <w:color w:val="555555"/>
          <w:sz w:val="18"/>
        </w:rPr>
        <w:t xml:space="preserve">Bayerische Gaststättenverordnung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Soweit der Ausschank selbsterzeugter Getränke nach § 26 Abs. 1 Satz 1 GastG in Verbindung mit Art. 2 des Gesetzes über Realgewerbeberechtigungen und den Ausschank eigener Erzeugnisse keiner Erlaubnis bedarf, können der Betrieb untersagt und seine Fortsetzung verhindert werden, wenn die Voraussetzungen des § 4 Abs. 1 Nr. 2 oder Nr. 3 GastG vorliegen.</w:t>
      </w:r>
    </w:p>
    <w:p>
      <w:r>
        <w:t xml:space="preserve">(2) Soweit sich die Erlaubnisfreiheit nach Abs. 1 auf den Ausschank selbsterzeugten Weins bezieht, gelten die §§ 4 und 5 dieser Verordnung entsprechend. Auf Antrag können Befreiungen von den Verpflichtungen nach § 4 Abs. 2 erteilt werden, wenn dies dem örtlichen Herkommen entspricht und die Einhaltung der Vorschrift im Einzelfall zu einer unbilligen Härte führen würde.</w:t>
      </w:r>
    </w:p>
    <w:p>
      <w:r>
        <w:rPr>
          <w:color w:val="555555"/>
          <w:sz w:val="17"/>
        </w:rPr>
        <w:t xml:space="preserve">Zitiervorschlag: § 6 BayGastV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https://recht.nulegal.eu/gesetze/BayGastV/6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