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BayGastV (Bayern) — Anzeigepflicht, Untersagung</w:t>
      </w:r>
    </w:p>
    <w:p>
      <w:r>
        <w:rPr>
          <w:color w:val="555555"/>
          <w:sz w:val="18"/>
        </w:rPr>
        <w:t xml:space="preserve">Bayerische Gaststättenverordnung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Wer eine Straußwirtschaft betreiben will, hat dies mindestens zwei Wochen vor Beginn des Betriebs bei der zuständigen Gemeinde anzuzeigen und dabei mitzuteilen</w:t>
      </w:r>
    </w:p>
    <w:p>
      <w:r>
        <w:t xml:space="preserve">1. den Zeitraum, während dessen der Ausschank stattfinden soll,</w:t>
      </w:r>
    </w:p>
    <w:p>
      <w:r>
        <w:t xml:space="preserve">2. den Ort, an dem die für den Wein oder Apfelwein verwendeten Früchte gekeltert sowie der Wein ausgebaut wurde, und</w:t>
      </w:r>
    </w:p>
    <w:p>
      <w:r>
        <w:t xml:space="preserve">3. die zum Betrieb der Straußwirtschaft bestimmten Räume.</w:t>
      </w:r>
    </w:p>
    <w:p>
      <w:r>
        <w:t xml:space="preserve">(2) Der Betrieb einer Straußwirtschaft kann untersagt und seine Fortsetzung verhindert werden, wenn die Voraussetzungen des § 4 Abs. 1 Nr. 2 oder Nr. 3 GastG vorliegen.</w:t>
      </w:r>
    </w:p>
    <w:p>
      <w:r>
        <w:rPr>
          <w:color w:val="555555"/>
          <w:sz w:val="17"/>
        </w:rPr>
        <w:t xml:space="preserve">Zitiervorschlag: § 5 BayGastV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https://recht.nulegal.eu/gesetze/BayGastV/5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