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BayGastV (Bayern) — Inkrafttreten</w:t>
      </w:r>
    </w:p>
    <w:p>
      <w:r>
        <w:rPr>
          <w:color w:val="555555"/>
          <w:sz w:val="18"/>
        </w:rPr>
        <w:t xml:space="preserve">Bayerische Gaststättenverordnung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April 2016 in Kraft.</w:t>
      </w:r>
    </w:p>
    <w:p>
      <w:r>
        <w:rPr>
          <w:color w:val="555555"/>
          <w:sz w:val="17"/>
        </w:rPr>
        <w:t xml:space="preserve">Zitiervorschlag: § 10 BayGastV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https://recht.nulegal.eu/gesetze/BayGastV/10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