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BayGastV (Bayern) — Vollzugszuständigkeit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Vollzug gaststättenrechtlicher Vorschriften sind vorbehaltlich anderweitiger Regelung die Kreisverwaltungsbehörden zuständig. Soweit einer kreisangehörigen Gemeinde durch Rechtsverordnung nach Art. 53 Abs. 2 Satz 1 der Bayerischen Bauordnung (BayBO) die Aufgaben der unteren Bauaufsichtsbehörde übertragen wurden, tritt an die Stelle der Kreisverwaltungsbehörde die jeweilige kreisangehörige Gemeinde.</w:t>
      </w:r>
    </w:p>
    <w:p>
      <w:r>
        <w:t xml:space="preserve">(2) Die Gemeinden sind abweichend von Abs. 1 zuständig für die Ausführung von § 12 des Gaststättengesetzes (GastG).</w:t>
      </w:r>
    </w:p>
    <w:p>
      <w:r>
        <w:t xml:space="preserve">(3) Soweit die Zuständigkeit der Gemeinden eröffnet ist, sind diese auch zuständige Behörde im Sinn des § 15 Abs. 2 der Gewerbeordnung (GewO).</w:t>
      </w:r>
    </w:p>
    <w:p>
      <w:r>
        <w:t xml:space="preserve">(4) Zur Auskunft und Nachschau nach § 22 GastG ist hinsichtlich der Sperrzeit unbeschadet der Zuständigkeit anderer Stellen auch die Polizei zuständig.</w:t>
      </w:r>
    </w:p>
    <w:p>
      <w:r>
        <w:rPr>
          <w:color w:val="555555"/>
          <w:sz w:val="17"/>
        </w:rPr>
        <w:t xml:space="preserve">Zitiervorschlag: § 1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