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BayGaV (Bayern) — Aufgaben des Vorsitzenden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Vorsitzende erfüllt die ihm durch diese Verordnung und durch Gesetz zugewiesenen Aufgaben und vertritt den Gutachterausschuss nach außen.</w:t>
      </w:r>
    </w:p>
    <w:p>
      <w:r>
        <w:t xml:space="preserve">(2) Der Gutachterausschuss kann durch Beschluss mit der Mehrheit seiner Mitglieder die Wahrnehmung der Befugnisse nach § 197 BauGB auf den Vorsitzenden übertragen.</w:t>
      </w:r>
    </w:p>
    <w:p>
      <w:r>
        <w:rPr>
          <w:color w:val="555555"/>
          <w:sz w:val="17"/>
        </w:rPr>
        <w:t xml:space="preserve">Zitiervorschlag: § 8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