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BayGaV (Bayern) — Entschädigung der Gutachter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Gutachter erhalten für ihre Tätigkeit eine angemessene Entschädigung. Gutachter, die im öffentlichen Dienst beschäftigt sind, werden nur entschädigt, soweit sie die Gutachtertätigkeit nicht als dienstliche Aufgabe wahrnehmen.</w:t>
      </w:r>
    </w:p>
    <w:p>
      <w:r>
        <w:t xml:space="preserve">(2) Die Höhe der den Gutachtern zustehenden Entschädigung wird allgemein durch die Körperschaft, für deren Bereich der Gutachterausschuss gebildet ist, festgelegt. Dabei dürfen die nach dem Justizvergütungs- und -entschädigungsgesetz (JVEG) geltenden Beträge nicht überschritten werden. Die Entschädigung im Einzelfall wird von der Geschäftsstelle festgesetzt.</w:t>
      </w:r>
    </w:p>
    <w:p>
      <w:r>
        <w:t xml:space="preserve">(3) Zur Leistung der Entschädigung ist die Körperschaft verpflichtet, für deren Bereich der Gutachterausschuss gebildet ist.</w:t>
      </w:r>
    </w:p>
    <w:p>
      <w:r>
        <w:rPr>
          <w:color w:val="555555"/>
          <w:sz w:val="17"/>
        </w:rPr>
        <w:t xml:space="preserve">Zitiervorschlag: § 7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