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BayGaV (Bayern) — Abberufung von Gutachtern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Kreisverwaltungsbehörde hat Gutachter abzuberufen, wenn die Voraussetzungen für die Berufung nicht vorgelegen haben oder nachträglich weggefallen sind.</w:t>
      </w:r>
    </w:p>
    <w:p>
      <w:r>
        <w:t xml:space="preserve">(2) Die Kreisverwaltungsbehörde kann Gutachter abberufen, wenn ein wichtiger Grund vorliegt.</w:t>
      </w:r>
    </w:p>
    <w:p>
      <w:r>
        <w:t xml:space="preserve">(3) Ehrenamtliche Gutachter sind aus ihrem Amt zu entlassen, wenn sie es beantragen.</w:t>
      </w:r>
    </w:p>
    <w:p>
      <w:r>
        <w:rPr>
          <w:color w:val="555555"/>
          <w:sz w:val="17"/>
        </w:rPr>
        <w:t xml:space="preserve">Zitiervorschlag: § 5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