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BayGaV (Bayern) — Verpflichtung der ehrenamtlichen Gutachter</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ehrenamtlichen Gutachter haben vor Beginn der Tätigkeit gegenüber dem Vorsitzenden zu versichern, dass sie ihre Tätigkeit gewissenhaft und unparteiisch ausüben und über die ihnen bekannt gewordenen Tatsachen auch nach Beendigung der Tätigkeit Verschwiegenheit wahren.</w:t>
      </w:r>
    </w:p>
    <w:p>
      <w:r>
        <w:t xml:space="preserve">(2) Über die Verpflichtung ist eine Niederschrift aufzunehmen.</w:t>
      </w:r>
    </w:p>
    <w:p>
      <w:r>
        <w:rPr>
          <w:color w:val="555555"/>
          <w:sz w:val="17"/>
        </w:rPr>
        <w:t xml:space="preserve">Zitiervorschlag: § 4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