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BayGaV (Bayern) — Übergangsvorschrift</w:t>
      </w:r>
    </w:p>
    <w:p>
      <w:r>
        <w:rPr>
          <w:color w:val="555555"/>
          <w:sz w:val="18"/>
        </w:rPr>
        <w:t xml:space="preserve">Bayerische Gutachterausschussverordnung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Für Anträge auf Erstattung von Gutachten, die bis zum Ablauf des 30. Juni 2022 gestellt worden sind, ist § 15 in der bis dahin geltenden Fassung weiter anzuwenden.</w:t>
      </w:r>
    </w:p>
    <w:p>
      <w:r>
        <w:rPr>
          <w:color w:val="555555"/>
          <w:sz w:val="17"/>
        </w:rPr>
        <w:t xml:space="preserve">Zitiervorschlag: § 24 BayGaV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https://recht.nulegal.eu/gesetze/BayGaV/24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