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BayGaV (Bayern) — Berufung und Abberufung der Gutachter</w:t>
      </w:r>
    </w:p>
    <w:p>
      <w:r>
        <w:rPr>
          <w:color w:val="555555"/>
          <w:sz w:val="18"/>
        </w:rPr>
        <w:t xml:space="preserve">Bayerische Gutachterausschussverordnung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Gutachter werden vom Staatsministerium für Wohnen, Bau und Verkehr berufen und abberufen. Die Berufung der Gutachter nach § 17 Satz 5 erfolgt auf Vorschlag des Staatsministeriums der Finanzen und für Heimat oder einer von ihm bestimmten Behörde.</w:t>
      </w:r>
    </w:p>
    <w:p>
      <w:r>
        <w:rPr>
          <w:color w:val="555555"/>
          <w:sz w:val="17"/>
        </w:rPr>
        <w:t xml:space="preserve">Zitiervorschlag: § 18 BayGaV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https://recht.nulegal.eu/gesetze/BayGaV/18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