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BayGaV (Bayern) — Erstattung von Gutachten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Antrag auf Erstattung eines Gutachtens ist bei der Geschäftsstelle einzureichen. Es kann verlangt werden, dass die Antragsberechtigung glaubhaft gemacht wird.</w:t>
      </w:r>
    </w:p>
    <w:p>
      <w:r>
        <w:t xml:space="preserve">(2) Soweit Eigentümer nicht selbst Antragsteller sind, ist ihnen vor Erstattung eines Gutachtens Gelegenheit zu geben, sich zu den für die Ermittlung des Verkehrswerts maßgeblichen Umständen zu äußern.</w:t>
      </w:r>
    </w:p>
    <w:p>
      <w:r>
        <w:t xml:space="preserve">(3) Das Gutachten ist schriftlich zu erstatten und zu begründen. Es ist von den Gutachtern, die mitgewirkt haben, zu unterschreiben.</w:t>
      </w:r>
    </w:p>
    <w:p>
      <w:r>
        <w:rPr>
          <w:color w:val="555555"/>
          <w:sz w:val="17"/>
        </w:rPr>
        <w:t xml:space="preserve">Zitiervorschlag: § 14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