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BayGaV (Bayern) — Führung der Kaufpreissammlung</w:t>
      </w:r>
    </w:p>
    <w:p>
      <w:r>
        <w:rPr>
          <w:color w:val="555555"/>
          <w:sz w:val="18"/>
        </w:rPr>
        <w:t xml:space="preserve">Bayerische Gutachterausschussverordnung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Kaufpreissammlung wird bei der Geschäftsstelle des Gutachterausschusses geführt.</w:t>
      </w:r>
    </w:p>
    <w:p>
      <w:r>
        <w:t xml:space="preserve">(2) Für die Kaufpreissammlung wertet die Geschäftsstelle die ihr übersandten Urkunden und die Mitteilungen der Flurbereinigungsbehörde gemäß Abs. 10 nach Weisung des Vorsitzenden aus. Die Urkunden sind drei Jahre aufzubewahren und dann zu vernichten. Die Frist beginnt mit Ablauf des Jahres, in dem die Übersendung erfolgte.</w:t>
      </w:r>
    </w:p>
    <w:p>
      <w:r>
        <w:t xml:space="preserve">(3) Die Kaufpreissammlung besteht mindestens aus einem beschreibenden Nachweis. Sie soll durch eine Kaufpreiskarte ergänzt werden. Die der Geschäftsstelle übersandten Urkunden und die Mitteilungen der Flurbereinigungsbehörde gemäß Abs. 10 sind nicht Teil der Kaufpreissammlung.</w:t>
      </w:r>
    </w:p>
    <w:p>
      <w:r>
        <w:t xml:space="preserve">(4) Im beschreibenden Nachweis der Kaufpreissammlung werden bekannte Vertragsmerkmale, Wert beeinflussende Umstände, geeignete Ordnungsmerkmale und Objektgruppen nachgewiesen. Die Entgelte sind auf die für die Objektgruppen geeigneten Vergleichsmaßstäbe zu beziehen.</w:t>
      </w:r>
    </w:p>
    <w:p>
      <w:r>
        <w:t xml:space="preserve">(5) Vertragsmerkmale sind die Vertragsart oder der sonstige Grund des Rechtsübergangs, das Entgelt, die Zahlungsbedingungen sowie Besonderheiten der Preisvereinbarung. Ist anzunehmen, dass ungewöhnliche oder persönliche Verhältnisse die Höhe des Entgelts beeinflusst haben, ist dies entsprechend kenntlich zu machen.</w:t>
      </w:r>
    </w:p>
    <w:p>
      <w:r>
        <w:t xml:space="preserve">(6) Wert beeinflussende Umstände sind insbesondere Entwicklungszustand, Lage und Größe, Nutzung und Nutzungsmöglichkeit des Grundstücks, gezahlte oder nicht gezahlte Erschließungs- oder sonstige Beiträge sowie bei baulichen Anlagen Alter, Zustand und etwaiger Ertrag.</w:t>
      </w:r>
    </w:p>
    <w:p>
      <w:r>
        <w:t xml:space="preserve">(7) Ordnungsmerkmale sind insbesondere die Angaben des Liegenschaftskatasters und des Grundbuchs, die Bezeichnung der Gemeinde und Straße sowie Haus- und Flurstücksnummer.</w:t>
      </w:r>
    </w:p>
    <w:p>
      <w:r>
        <w:t xml:space="preserve">(8) Objektgruppen sind Gruppen von Grundstücken, für die nach den örtlichen Marktverhältnissen Teilmärkte bestehen.</w:t>
      </w:r>
    </w:p>
    <w:p>
      <w:r>
        <w:t xml:space="preserve">(9) Die Kaufpreiskarte soll den Zuschnitt der Grundstücke erkennen lassen. In die Kaufpreiskarte sind mindestens die mitgeteilten Eigentumswechsel an unbebauten Grundstücken einzutragen. Dabei sind mindestens eine Ordnungsnummer und das Jahr des Vertragsschlusses oder der Entscheidung zu vermerken.</w:t>
      </w:r>
    </w:p>
    <w:p>
      <w:r>
        <w:t xml:space="preserve">(10) Die Flurbereinigungsbehörden übermitteln dem zuständigen Gutachterausschuss zur Führung und Auswertung der Kaufpreissammlung jeweils zum Ende des Kalenderjahres Daten über nach dem Flurbereinigungsgesetz zu leistende Kapitalbeträge, Geldabfindungen und Geldentschädigungen.</w:t>
      </w:r>
    </w:p>
    <w:p>
      <w:r>
        <w:rPr>
          <w:color w:val="555555"/>
          <w:sz w:val="17"/>
        </w:rPr>
        <w:t xml:space="preserve">Zitiervorschlag: § 10 BayGaV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https://recht.nulegal.eu/gesetze/BayGaV/10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