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BayGaV (Bayern) — Zuständigkeit</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jeder Kreisverwaltungsbehörde besteht für deren Bereich ein Gutachterausschuss für Grundstückswerte.</w:t>
      </w:r>
    </w:p>
    <w:p>
      <w:r>
        <w:t xml:space="preserve">(2) Der Gutachterausschuss erfüllt die ihm nach dem Baugesetzbuch (BauGB) und anderen Rechtsvorschriften übertragenen Aufgaben. Ferner kann er für die Enteignungsbehörde im Verfahren der vorzeitigen Besitzeinweisung nach dem Baugesetzbuch den Zustand des Grundstücks vor der Besitzeinweisung feststellen.</w:t>
      </w:r>
    </w:p>
    <w:p>
      <w:r>
        <w:t xml:space="preserve">(3) Örtlich zuständig ist der Gutachterausschuss, in dessen Bereich das Grundstück liegt. Liegt ein Grundstück im Bereich mehrerer Ausschüsse, ist der Ausschuss zuständig, in dessen Bereich der größere Teil liegt.</w:t>
      </w:r>
    </w:p>
    <w:p>
      <w:r>
        <w:rPr>
          <w:color w:val="555555"/>
          <w:sz w:val="17"/>
        </w:rPr>
        <w:t xml:space="preserve">Zitiervorschlag: § 1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