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BayGVFG (Bayern)</w:t>
      </w:r>
    </w:p>
    <w:p>
      <w:r>
        <w:rPr>
          <w:color w:val="555555"/>
          <w:sz w:val="18"/>
        </w:rPr>
        <w:t xml:space="preserve">Bayerisches Gemeindeverkehrsfinanzierungsgesetz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Landtag des Freistaates Bayern hat das folgende Gesetz beschlossen, das hiermit bekannt gemacht wird:</w:t>
      </w:r>
    </w:p>
    <w:p>
      <w:r>
        <w:rPr>
          <w:color w:val="555555"/>
          <w:sz w:val="17"/>
        </w:rPr>
        <w:t xml:space="preserve">Zitiervorschlag: Eingangsformel BayGVFG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https://recht.nulegal.eu/gesetze/BayGVFG/eingangsformel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