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BayGVFG (Bayern) — Aufstellung der Programme</w:t>
      </w:r>
    </w:p>
    <w:p>
      <w:r>
        <w:rPr>
          <w:color w:val="555555"/>
          <w:sz w:val="18"/>
        </w:rPr>
        <w:t xml:space="preserve">Bayerisches Gemeindeverkehrsfinanzierungsgesetz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für Wohnen, Bau und Verkehr stellt die Programme auf. Dies gilt auch für die Anpassung und Fortschreibung der Programme.</w:t>
      </w:r>
    </w:p>
    <w:p>
      <w:r>
        <w:rPr>
          <w:color w:val="555555"/>
          <w:sz w:val="17"/>
        </w:rPr>
        <w:t xml:space="preserve">Zitiervorschlag: Art 6 BayGVFG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https://recht.nulegal.eu/gesetze/BayGVFG/6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