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BayGVFG (Bayern) — Höhe und Umfang der Förderung</w:t>
      </w:r>
    </w:p>
    <w:p>
      <w:r>
        <w:rPr>
          <w:color w:val="555555"/>
          <w:sz w:val="18"/>
        </w:rPr>
        <w:t xml:space="preserve">Bayerisches Gemeindeverkehrsfinanzierungsgesetz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Förderung aus den Finanzmitteln nach Art. 1 Satz 1 beträgt bis zu 80 v.H. der zuwendungsfähigen Kosten.</w:t>
      </w:r>
    </w:p>
    <w:p>
      <w:r>
        <w:t xml:space="preserve">(2) Zuwendungsfähig sind die Kosten für das Vorhaben nach Art. 2. Beim Grunderwerb sind nur die Gestehungskosten zuwendungsfähig.</w:t>
      </w:r>
    </w:p>
    <w:p>
      <w:r>
        <w:t xml:space="preserve">(3) Nicht zuwendungsfähig sind</w:t>
      </w:r>
    </w:p>
    <w:p>
      <w:r>
        <w:t xml:space="preserve">1. Kosten, die ein anderer als der Träger des Vorhabens zu tragen verpflichtet ist,</w:t>
      </w:r>
    </w:p>
    <w:p>
      <w:r>
        <w:t xml:space="preserve">2. Verwaltungskosten,</w:t>
      </w:r>
    </w:p>
    <w:p>
      <w:r>
        <w:t xml:space="preserve">3. Kosten für den Erwerb solcher Grundstücke und Grundstücksteile, die</w:t>
      </w:r>
    </w:p>
    <w:p>
      <w:r>
        <w:t xml:space="preserve">a) nicht unmittelbar oder nicht dauernd für das Vorhaben benötigt werden, es sei denn, dass sie nicht nutzbar sind,</w:t>
      </w:r>
    </w:p>
    <w:p>
      <w:r>
        <w:t xml:space="preserve">b) vor dem 1. Januar 1961 erworben worden sind.</w:t>
      </w:r>
    </w:p>
    <w:p>
      <w:r>
        <w:rPr>
          <w:color w:val="555555"/>
          <w:sz w:val="17"/>
        </w:rPr>
        <w:t xml:space="preserve">Zitiervorschlag: Art 4 BayGVFG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https://recht.nulegal.eu/gesetze/BayGVFG/4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