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BayGVFG (Bayern) — Voraussetzungen der Förderung</w:t>
      </w:r>
    </w:p>
    <w:p>
      <w:r>
        <w:rPr>
          <w:color w:val="555555"/>
          <w:sz w:val="18"/>
        </w:rPr>
        <w:t xml:space="preserve">Bayerisches Gemeindeverkehrsfinanzierungsgesetz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Voraussetzungen für die Förderung nach Art. 2 sind, dass</w:t>
      </w:r>
    </w:p>
    <w:p>
      <w:r>
        <w:t xml:space="preserve">1. das Vorhaben</w:t>
      </w:r>
    </w:p>
    <w:p>
      <w:r>
        <w:t xml:space="preserve">a) nach Art und Umfang zur Verbesserung der Verkehrsverhältnisse dringend erforderlich ist und die Ziele der Raumordnung und Landesplanung berücksichtigt,</w:t>
      </w:r>
    </w:p>
    <w:p>
      <w:r>
        <w:t xml:space="preserve">b) in einem Generalverkehrsplan oder einem für die Beurteilung gleichwertigen Plan vorgesehen ist,</w:t>
      </w:r>
    </w:p>
    <w:p>
      <w:r>
        <w:t xml:space="preserve">c) bau- und verkehrstechnisch einwandfrei und unter Beachtung des Grundsatzes der Wirtschaftlichkeit und Sparsamkeit geplant ist,</w:t>
      </w:r>
    </w:p>
    <w:p>
      <w:r>
        <w:t xml:space="preserve">d) mit städtebaulichen Maßnahmen, die mit ihm zusammenhängen, abgestimmt ist,</w:t>
      </w:r>
    </w:p>
    <w:p>
      <w:r>
        <w:t xml:space="preserve">e) Belange von Menschen mit Behinderungen oder Mobilitätseinschränkungen berücksichtigt und den Anforderungen der Barrierefreiheit möglichst weit reichend entspricht; bei der Vorhabensplanung sind die zuständigen Beauftragten für Belange von Menschen mit Behinderung nach Art. 19 des Bayerischen Behindertengleichstellungsgesetzes anzuhören; verfügt eine Gebietskörperschaft nicht über Behindertenbeauftragte oder Behindertenbeiräte sind stattdessen die entsprechenden Verbände im Sinn des § 13 Abs. 3 des Behindertengleichstellungsgesetzes anzuhören,</w:t>
      </w:r>
    </w:p>
    <w:p>
      <w:r>
        <w:t xml:space="preserve">2. die übrige Finanzierung des Vorhabens oder eines Bauabschnittes des Vorhabens mit eigener Verkehrsbedeutung gewährleistet ist.</w:t>
      </w:r>
    </w:p>
    <w:p>
      <w:r>
        <w:t xml:space="preserve">In den Fällen des Art. 2 Nr. 1 ist ferner Art. 9 Abs. 2 Satz 2 des Bayerischen Straßen- und Wegegesetzes zu beachten.</w:t>
      </w:r>
    </w:p>
    <w:p>
      <w:r>
        <w:t xml:space="preserve">(2) Nach diesem Gesetz werden Vorhaben nicht gefördert, für die der Träger des Vorhabens seine Verpflichtungen vor dem 1. Januar des Jahres, in dem die Förderung beginnen soll, erfüllt hat.</w:t>
      </w:r>
    </w:p>
    <w:p>
      <w:r>
        <w:rPr>
          <w:color w:val="555555"/>
          <w:sz w:val="17"/>
        </w:rPr>
        <w:t xml:space="preserve">Zitiervorschlag: Art 3 BayGVFG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https://recht.nulegal.eu/gesetze/BayGVFG/3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