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BayGVFG (Bayern) — Förderungsfähige Vorhaben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Vorhaben von Gemeinden, Landkreisen und kommunalen Zusammenschlüssen sowie Verkehrsunternehmen und sonstigen Vorhabensträgern des allgemeinen öffentlichen Personennahverkehrs können durch Zuwendungen aus den Finanzmitteln nach Art. 1 Satz 1 auf Antrag gefördert werden:</w:t>
      </w:r>
    </w:p>
    <w:p>
      <w:r>
        <w:t xml:space="preserve">1. Bau oder Ausbau von</w:t>
      </w:r>
    </w:p>
    <w:p>
      <w:r>
        <w:t xml:space="preserve">a) verkehrswichtigen</w:t>
      </w:r>
    </w:p>
    <w:p>
      <w:r>
        <w:t xml:space="preserve">aa) innerörtlichen Straßen mit Ausnahme von Anlieger- und Erschließungsstraßen,</w:t>
      </w:r>
    </w:p>
    <w:p>
      <w:r>
        <w:t xml:space="preserve">bb) Zubringerstraßen zum überörtlichen Verkehrsnetz,</w:t>
      </w:r>
    </w:p>
    <w:p>
      <w:r>
        <w:t xml:space="preserve">cc) zwischenörtlichen Straßen,</w:t>
      </w:r>
    </w:p>
    <w:p>
      <w:r>
        <w:t xml:space="preserve">dd) selbstständigen Geh- und Radwegen,</w:t>
      </w:r>
    </w:p>
    <w:p>
      <w:r>
        <w:t xml:space="preserve">ee) öffentlichen Feld- und Waldwegen mit Bedeutung für den Radverkehr,</w:t>
      </w:r>
    </w:p>
    <w:p>
      <w:r>
        <w:t xml:space="preserve">b) besonderen Fahrspuren für Omnibusse,</w:t>
      </w:r>
    </w:p>
    <w:p>
      <w:r>
        <w:t xml:space="preserve">c) Straßen im Zusammenhang mit der Stilllegung von Eisenbahnstrecken,</w:t>
      </w:r>
    </w:p>
    <w:p>
      <w:r>
        <w:t xml:space="preserve">d) intelligenten straßenseitigen Verkehrssystemen zur Erhöhung der Sicherheit und Leichtigkeit des Verkehrs,</w:t>
      </w:r>
    </w:p>
    <w:p>
      <w:r>
        <w:t xml:space="preserve">e) öffentlichen Umsteigeanlagen an Straßen zur Verringerung des motorisierten Individualverkehrs,</w:t>
      </w:r>
    </w:p>
    <w:p>
      <w:r>
        <w:t xml:space="preserve">f) öffentlichen Verkehrsflächen für in Bebauungsplänen ausgewiesene Güterverkehrszentren einschließlich der in diesen Verkehrsflächen liegenden zugehörigen kommunalen Erschließungsanlagen nach den §§ 127 und 128 des Baugesetzbuchs</w:t>
      </w:r>
    </w:p>
    <w:p>
      <w:r>
        <w:t xml:space="preserve">in der Baulast von Gemeinden oder Landkreisen sowie von</w:t>
      </w:r>
    </w:p>
    <w:p>
      <w:r>
        <w:t xml:space="preserve">g) unselbstständigen Gehwegen an Bundes-, Staats- und Kreisstraßen,</w:t>
      </w:r>
    </w:p>
    <w:p>
      <w:r>
        <w:t xml:space="preserve">h) unselbstständigen Radwegen an Staats- und Kreisstraßen</w:t>
      </w:r>
    </w:p>
    <w:p>
      <w:r>
        <w:t xml:space="preserve">in gemeindlicher Baulast in Ortsdurchfahrten, deren Fahrbahnen sich nicht in der Baulast der Gemeinden befinden;</w:t>
      </w:r>
    </w:p>
    <w:p>
      <w:r>
        <w:t xml:space="preserve">unabhängig von der Baulast können Vorhaben nach den Buchst. e und f auch gefördert werden, wenn diese von selbstständigen kommunalen Unternehmen des öffentlichen Rechts oder kommunalen Unternehmen in privater Rechtsform durchgeführt werden,</w:t>
      </w:r>
    </w:p>
    <w:p>
      <w:r>
        <w:t xml:space="preserve">2. Bau oder Ausbau von Verkehrswegen der</w:t>
      </w:r>
    </w:p>
    <w:p>
      <w:r>
        <w:t xml:space="preserve">a) Straßenbahnen, Hoch- und Untergrundbahnen sowie Bahnen besonderer Bauart,</w:t>
      </w:r>
    </w:p>
    <w:p>
      <w:r>
        <w:t xml:space="preserve">b) nichtbundeseigenen Eisenbahnen,</w:t>
      </w:r>
    </w:p>
    <w:p>
      <w:r>
        <w:t xml:space="preserve">soweit sie dem öffentlichen Personennahverkehr dienen und überwiegend auf besonderem Bahnkörper oder auf Streckenabschnitten, die eine Bevorrechtigung der Bahnen durch geeignete Bauformen beziehungsweise Fahrleitsysteme sicherstellen, geführt werden,</w:t>
      </w:r>
    </w:p>
    <w:p>
      <w:r>
        <w:t xml:space="preserve">3. Bau oder Ausbau von Umsteigeanlagen, zentralen Omnibusbahnhöfen und Haltestelleneinrichtungen sowie von Betriebshöfen und zentralen Werkstätten, soweit sie dem öffentlichen Personennahverkehr dienen,</w:t>
      </w:r>
    </w:p>
    <w:p>
      <w:r>
        <w:t xml:space="preserve">4. Beschleunigungsmaßnahmen für den öffentlichen Personennahverkehr, insbesondere rechnergesteuerte Betriebsleitsysteme und technische Maßnahmen zur Steuerung von Lichtsignalanlagen,</w:t>
      </w:r>
    </w:p>
    <w:p>
      <w:r>
        <w:t xml:space="preserve">5. Kreuzungsmaßnahmen nach dem Eisenbahnkreuzungsgesetz oder dem Bundeswasserstraßengesetz, soweit Gemeinden oder Landkreise als Baulastträger der kreuzenden Straße Kostenanteile zu tragen haben; in Ausnahmefällen gilt das gleiche für nichtbundeseigene Eisenbahnen als Baulastträger des kreuzenden Schienenwegs,</w:t>
      </w:r>
    </w:p>
    <w:p>
      <w:r>
        <w:t xml:space="preserve">6. die Beschaffung von Linienomnibussen und Gelenkomnibussen sowie Tank- und Ladeinfrastruktur für alternative Antriebe, soweit diese zum Erhalt und zur Verbesserung von Linienverkehren nach § 42 des Personenbeförderungsgesetzes erforderlich sind und überwiegend für diese Verkehre eingesetzt werden sowie von Schienenfahrzeugen des öffentlichen Personennahverkehrs.</w:t>
      </w:r>
    </w:p>
    <w:p>
      <w:r>
        <w:rPr>
          <w:color w:val="555555"/>
          <w:sz w:val="17"/>
        </w:rPr>
        <w:t xml:space="preserve">Zitiervorschlag: Art 2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