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BayGMPP (Bayern)</w:t>
      </w:r>
    </w:p>
    <w:p>
      <w:r>
        <w:rPr>
          <w:color w:val="555555"/>
          <w:sz w:val="18"/>
        </w:rPr>
        <w:t xml:space="preserve">Bayerisches Gesetz zum Melde-, Pass- und Personalausweiswesen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Landtag des Freistaates Bayern hat das folgende Gesetz beschlossen, das hiermit bekannt gemacht wird:</w:t>
      </w:r>
    </w:p>
    <w:p>
      <w:r>
        <w:rPr>
          <w:color w:val="555555"/>
          <w:sz w:val="17"/>
        </w:rPr>
        <w:t xml:space="preserve">Zitiervorschlag: Eingangsformel BayGMPP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https://recht.nulegal.eu/gesetze/BayGMPP/eingangsformel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